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3945" cy="5930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7" t="-303" r="-77" b="-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 ЕГРН внесено более 800 памятников и мемориальных комплексов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Arial"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Великой Отечественной войны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1"/>
        <w:spacing w:lineRule="auto" w:line="240" w:before="0" w:after="0"/>
        <w:ind w:firstLine="737"/>
        <w:jc w:val="both"/>
        <w:rPr>
          <w:b/>
          <w:b/>
          <w:bCs/>
        </w:rPr>
      </w:pPr>
      <w:r>
        <w:rPr>
          <w:b/>
          <w:bCs/>
          <w:color w:val="000000"/>
          <w:sz w:val="28"/>
          <w:szCs w:val="28"/>
          <w:shd w:fill="FFFFFF" w:val="clear"/>
        </w:rPr>
        <w:t xml:space="preserve">В Алтайском крае ведется масштабная работа по сохранению памятников, </w:t>
      </w:r>
      <w:r>
        <w:rPr>
          <w:b/>
          <w:bCs/>
          <w:color w:val="000000"/>
          <w:sz w:val="28"/>
          <w:szCs w:val="28"/>
          <w:shd w:fill="auto" w:val="clear"/>
        </w:rPr>
        <w:t xml:space="preserve">посвященных </w:t>
      </w:r>
      <w:r>
        <w:rPr>
          <w:b/>
          <w:bCs/>
          <w:color w:val="000000"/>
          <w:sz w:val="28"/>
          <w:szCs w:val="28"/>
          <w:shd w:fill="FFFFFF" w:val="clear"/>
        </w:rPr>
        <w:t>Великой Отечественной войне. Единый государственный реестр недвижимости (ЕГРН) содержит сведения о более чем 800 памятниках, обелисках и мемориальных комплексах, расположенных на  территории региона.</w:t>
      </w:r>
    </w:p>
    <w:p>
      <w:pPr>
        <w:pStyle w:val="Style21"/>
        <w:spacing w:lineRule="auto" w:line="240" w:before="0" w:after="0"/>
        <w:ind w:firstLine="737"/>
        <w:jc w:val="both"/>
        <w:rPr>
          <w:i w:val="false"/>
          <w:i w:val="false"/>
          <w:iCs w:val="false"/>
        </w:rPr>
      </w:pPr>
      <w:r>
        <w:rPr>
          <w:rFonts w:cs="Times New Roman"/>
          <w:bCs/>
          <w:i w:val="false"/>
          <w:iCs w:val="false"/>
          <w:color w:val="000000"/>
          <w:sz w:val="28"/>
          <w:szCs w:val="28"/>
          <w:shd w:fill="FFFFFF" w:val="clear"/>
        </w:rPr>
        <w:t xml:space="preserve">Памятники </w:t>
      </w:r>
      <w:r>
        <w:rPr>
          <w:rFonts w:cs="Times New Roman"/>
          <w:bCs/>
          <w:i w:val="false"/>
          <w:iCs w:val="false"/>
          <w:color w:val="000000"/>
          <w:sz w:val="28"/>
          <w:szCs w:val="28"/>
          <w:shd w:fill="auto" w:val="clear"/>
        </w:rPr>
        <w:t xml:space="preserve">Великой Отечественной войны, посвященные мужеству и героизму советских солдат, сражавшихся против фашистов, </w:t>
      </w:r>
      <w:r>
        <w:rPr>
          <w:rFonts w:cs="Times New Roman"/>
          <w:bCs/>
          <w:i w:val="false"/>
          <w:iCs w:val="false"/>
          <w:color w:val="000000"/>
          <w:sz w:val="28"/>
          <w:szCs w:val="28"/>
          <w:shd w:fill="FFFFFF" w:val="clear"/>
        </w:rPr>
        <w:t>важны для сохранения исторической памяти будущих поколений. Память о боях, подвигах солдат и тружеников тыла хранится во многих российских городах и поселках. Они возведены в память о тех, кто сражался или погиб в годы войны, и как напоминание о жертвах, принесенных во имя мира и свободы. В большинстве населенных пунктов Алтайского края есть такие памятники. Их сохранение является одним из приоритетных направлений деятельности органов власти Алтайского края.</w:t>
      </w:r>
    </w:p>
    <w:p>
      <w:pPr>
        <w:pStyle w:val="Style21"/>
        <w:spacing w:lineRule="auto" w:line="240" w:before="0" w:after="0"/>
        <w:ind w:firstLine="737"/>
        <w:jc w:val="both"/>
        <w:rPr>
          <w:sz w:val="28"/>
          <w:szCs w:val="28"/>
        </w:rPr>
      </w:pPr>
      <w:r>
        <w:rPr>
          <w:rFonts w:cs="Times New Roman"/>
          <w:bCs/>
          <w:i/>
          <w:iCs/>
          <w:color w:val="000000"/>
          <w:sz w:val="28"/>
          <w:szCs w:val="28"/>
          <w:shd w:fill="FFFFFF" w:val="clear"/>
        </w:rPr>
        <w:t>«Все памятники Великой Отечественной войны имеют особый правовой статус и относятся категории объектов культурного наследия (ОКН). Для того, чтобы ОКН были защищены - сведения о них должны включаться в ЕГРН. Наличие в ЕГРН актуальных сведений о памятниках позволяет исключить градостроительные ошибки при предоставлении земельных участков или выдаче разрешений на строительство органами местного самоуправления, а также случаи нарушения запретов, которые могут нанести непоправимый вред сохранности ОКН. Именно поэтому постановка на учет ОКН, их территорий и охранных зон входит в число приоритетных направлений деятельности государственных органов»</w:t>
      </w:r>
      <w:r>
        <w:rPr>
          <w:rFonts w:cs="Times New Roman"/>
          <w:bCs/>
          <w:color w:val="000000"/>
          <w:sz w:val="28"/>
          <w:szCs w:val="28"/>
          <w:shd w:fill="FFFFFF" w:val="clear"/>
        </w:rPr>
        <w:t xml:space="preserve">, - сообщил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</w:rPr>
        <w:t>директор филиала Роскадастра по Алтайскому краю Дмитрий Комиссаров.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Для того, чтобы сведения попали в ЕГРН, необходимая информация должна быть представлена в Росреестр уполномоченными органами в сфере охраны памятников культуры в соответствии с установленными законом требованиями. Своевременное внесение в ЕГРН полных и достоверных сведений об объектах культурного наследия позволяет защитить ОКН от противоправных действий.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В настоящее время реестр недвижимости Алтайского края содержит сведения об 1551 объекте культурного наследия, из которых больше половины являются памятниками Великой отечественной. В первом полугодии текущего года более 100 таких объектов внесены в ЕГРН.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  <w:t>Материал подготовлен филиалом ППК «Роскадастр» по Алтайскому краю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Style w:val="Style15"/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  <w:t>Официальная страница в соц. сети: https://vk.com/kadastr22</w:t>
      </w:r>
    </w:p>
    <w:sectPr>
      <w:headerReference w:type="default" r:id="rId3"/>
      <w:type w:val="nextPage"/>
      <w:pgSz w:w="11906" w:h="16838"/>
      <w:pgMar w:left="1134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11684027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Arial" w:cs="Arial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9" w:customStyle="1">
    <w:name w:val="Нижний колонтитул Знак"/>
    <w:uiPriority w:val="99"/>
    <w:qFormat/>
    <w:rPr/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uiPriority w:val="99"/>
    <w:qFormat/>
    <w:rPr>
      <w:sz w:val="20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uiPriority w:val="9"/>
    <w:qFormat/>
    <w:rPr>
      <w:rFonts w:ascii="Calibri Light" w:hAnsi="Calibri Light" w:eastAsia="Arial" w:cs="Arial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5" w:customStyle="1">
    <w:name w:val="Интернет-ссылка"/>
    <w:rsid w:val="00a623e8"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Style17" w:customStyle="1">
    <w:name w:val="Тема примечания Знак"/>
    <w:basedOn w:val="Style16"/>
    <w:link w:val="Annotationsubject"/>
    <w:uiPriority w:val="99"/>
    <w:semiHidden/>
    <w:qFormat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e73dfa"/>
    <w:rPr>
      <w:b/>
      <w:bCs/>
    </w:rPr>
  </w:style>
  <w:style w:type="character" w:styleId="Jsphonenumber" w:customStyle="1">
    <w:name w:val="js-phone-number"/>
    <w:basedOn w:val="DefaultParagraphFont"/>
    <w:qFormat/>
    <w:rsid w:val="00e73dfa"/>
    <w:rPr/>
  </w:style>
  <w:style w:type="character" w:styleId="Style18">
    <w:name w:val="Посещённая гиперссылка"/>
    <w:basedOn w:val="DefaultParagraphFont"/>
    <w:uiPriority w:val="99"/>
    <w:semiHidden/>
    <w:unhideWhenUsed/>
    <w:rsid w:val="00777c49"/>
    <w:rPr>
      <w:color w:val="954F72" w:themeColor="followedHyperlink"/>
      <w:u w:val="single"/>
    </w:rPr>
  </w:style>
  <w:style w:type="character" w:styleId="32" w:customStyle="1">
    <w:name w:val="Основной шрифт абзаца3"/>
    <w:qFormat/>
    <w:rsid w:val="00b25eb3"/>
    <w:rPr/>
  </w:style>
  <w:style w:type="character" w:styleId="Style19" w:customStyle="1">
    <w:name w:val="Основной текст Знак"/>
    <w:basedOn w:val="DefaultParagraphFont"/>
    <w:semiHidden/>
    <w:qFormat/>
    <w:rsid w:val="00617af6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Style19"/>
    <w:semiHidden/>
    <w:unhideWhenUsed/>
    <w:rsid w:val="00617af6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5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6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Style9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5B9BD5" w:themeColor="accent1"/>
      <w:sz w:val="18"/>
      <w:szCs w:val="18"/>
    </w:rPr>
  </w:style>
  <w:style w:type="paragraph" w:styleId="Style30">
    <w:name w:val="Footnote Text"/>
    <w:basedOn w:val="Normal"/>
    <w:link w:val="Style10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31">
    <w:name w:val="Endnote Text"/>
    <w:basedOn w:val="Normal"/>
    <w:link w:val="Style12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32">
    <w:name w:val="Index Heading"/>
    <w:basedOn w:val="Style20"/>
    <w:pPr/>
    <w:rPr/>
  </w:style>
  <w:style w:type="paragraph" w:styleId="Style33">
    <w:name w:val="TOC Heading"/>
    <w:uiPriority w:val="39"/>
    <w:unhideWhenUsed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lineRule="auto" w:line="252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Style16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pPr/>
    <w:rPr>
      <w:b/>
      <w:bCs/>
    </w:rPr>
  </w:style>
  <w:style w:type="paragraph" w:styleId="Westernmrcssattr" w:customStyle="1">
    <w:name w:val="western_mr_css_attr"/>
    <w:basedOn w:val="Normal"/>
    <w:qFormat/>
    <w:rsid w:val="00e73d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e73d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ff09b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LibreOffice/7.3.1.3$Windows_X86_64 LibreOffice_project/a69ca51ded25f3eefd52d7bf9a5fad8c90b87951</Application>
  <AppVersion>15.0000</AppVersion>
  <Pages>1</Pages>
  <Words>314</Words>
  <Characters>2118</Characters>
  <CharactersWithSpaces>2424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2022-06-02T10:07:00Z</dcterms:created>
  <dc:creator>Пушкарская Диана Дмитриевна</dc:creator>
  <dc:description/>
  <dc:language>ru-RU</dc:language>
  <cp:lastModifiedBy/>
  <dcterms:modified xsi:type="dcterms:W3CDTF">2023-07-28T10:37:41Z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